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5C" w:rsidRDefault="00DE7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РЕКОМЕНДАТЕЛЬНОЕ ПИСЬМО </w:t>
      </w:r>
    </w:p>
    <w:p w:rsidR="00FA515C" w:rsidRDefault="00DE7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научного руководителя</w:t>
      </w:r>
    </w:p>
    <w:p w:rsidR="00FA515C" w:rsidRDefault="00DE75C8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статью  </w:t>
      </w:r>
      <w:r>
        <w:rPr>
          <w:i/>
          <w:sz w:val="28"/>
          <w:szCs w:val="28"/>
        </w:rPr>
        <w:t xml:space="preserve">Н.Т. </w:t>
      </w:r>
      <w:proofErr w:type="spellStart"/>
      <w:r>
        <w:rPr>
          <w:i/>
          <w:sz w:val="28"/>
          <w:szCs w:val="28"/>
        </w:rPr>
        <w:t>Камалиевой</w:t>
      </w:r>
      <w:proofErr w:type="spellEnd"/>
      <w:r>
        <w:rPr>
          <w:sz w:val="28"/>
          <w:szCs w:val="28"/>
        </w:rPr>
        <w:t xml:space="preserve"> </w:t>
      </w:r>
    </w:p>
    <w:p w:rsidR="00FA515C" w:rsidRDefault="00DE75C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Перспективы и градостроительный потенциал интеграции приграничных российских городов Дальнего Востока в систему ВСМ Китая </w:t>
      </w:r>
    </w:p>
    <w:p w:rsidR="00FA515C" w:rsidRDefault="00FA515C">
      <w:pPr>
        <w:jc w:val="both"/>
        <w:rPr>
          <w:b/>
          <w:sz w:val="28"/>
          <w:szCs w:val="28"/>
        </w:rPr>
      </w:pPr>
    </w:p>
    <w:p w:rsidR="00FA515C" w:rsidRDefault="00DE75C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для публикации статья рассматривает </w:t>
      </w:r>
      <w:r>
        <w:rPr>
          <w:color w:val="000000"/>
          <w:sz w:val="28"/>
          <w:szCs w:val="28"/>
        </w:rPr>
        <w:t>потенциал развития функционально-планировочной структуры городов российского Дальнего Востока в условиях гипотетического сценария создания трансграничных линий ВСМ меж</w:t>
      </w:r>
      <w:r>
        <w:rPr>
          <w:sz w:val="28"/>
          <w:szCs w:val="28"/>
        </w:rPr>
        <w:t xml:space="preserve">ду Россией и Китаем. Автор использует </w:t>
      </w:r>
      <w:r>
        <w:rPr>
          <w:sz w:val="28"/>
          <w:szCs w:val="28"/>
        </w:rPr>
        <w:t>методы сравнительного анализа и поиска аналогий. В статье выдвинуты и обоснованы положения о наличии объективных предпосылок для создания единой китайско-российской высокоскоростной железнодорожной сети и формирования  в этом случае нового градостроительно</w:t>
      </w:r>
      <w:r>
        <w:rPr>
          <w:sz w:val="28"/>
          <w:szCs w:val="28"/>
        </w:rPr>
        <w:t xml:space="preserve">го потенциала для развития приграничных российских городов. </w:t>
      </w:r>
    </w:p>
    <w:p w:rsidR="00FA515C" w:rsidRDefault="00DE75C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в данной статье решения имеют практическую ценность для развития приграничных</w:t>
      </w:r>
      <w:r>
        <w:rPr>
          <w:sz w:val="28"/>
          <w:szCs w:val="28"/>
        </w:rPr>
        <w:t xml:space="preserve"> городов российского Дальнего Востока, а также теоретическую ценность для поиска новых моделей </w:t>
      </w:r>
      <w:proofErr w:type="spellStart"/>
      <w:r>
        <w:rPr>
          <w:sz w:val="28"/>
          <w:szCs w:val="28"/>
        </w:rPr>
        <w:t>градоформи</w:t>
      </w:r>
      <w:r>
        <w:rPr>
          <w:sz w:val="28"/>
          <w:szCs w:val="28"/>
        </w:rPr>
        <w:t>рования</w:t>
      </w:r>
      <w:proofErr w:type="spellEnd"/>
      <w:r>
        <w:rPr>
          <w:sz w:val="28"/>
          <w:szCs w:val="28"/>
        </w:rPr>
        <w:t xml:space="preserve"> приграничных городов. Подготовленные иллюстративные материалы могут быть использованы в разработках и предложениях компаний, занимающихся вопросами железнодорожного сообщения и транспорта, городских и региональных администраций, обладают ясностью и</w:t>
      </w:r>
      <w:r>
        <w:rPr>
          <w:sz w:val="28"/>
          <w:szCs w:val="28"/>
        </w:rPr>
        <w:t xml:space="preserve"> последовательностью изложения.</w:t>
      </w:r>
    </w:p>
    <w:p w:rsidR="00FA515C" w:rsidRDefault="00DE75C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новизна результатов </w:t>
      </w:r>
      <w:r>
        <w:rPr>
          <w:sz w:val="28"/>
          <w:szCs w:val="28"/>
        </w:rPr>
        <w:t xml:space="preserve">- впервые на основе изучения существующего </w:t>
      </w:r>
      <w:proofErr w:type="spellStart"/>
      <w:r>
        <w:rPr>
          <w:sz w:val="28"/>
          <w:szCs w:val="28"/>
        </w:rPr>
        <w:t>транспортно-расселенческого</w:t>
      </w:r>
      <w:proofErr w:type="spellEnd"/>
      <w:r>
        <w:rPr>
          <w:sz w:val="28"/>
          <w:szCs w:val="28"/>
        </w:rPr>
        <w:t xml:space="preserve"> каркаса Дальнего Востока и опыта </w:t>
      </w:r>
      <w:proofErr w:type="gramStart"/>
      <w:r>
        <w:rPr>
          <w:sz w:val="28"/>
          <w:szCs w:val="28"/>
        </w:rPr>
        <w:t>создания</w:t>
      </w:r>
      <w:proofErr w:type="gramEnd"/>
      <w:r>
        <w:rPr>
          <w:sz w:val="28"/>
          <w:szCs w:val="28"/>
        </w:rPr>
        <w:t xml:space="preserve"> трансграничных ВСМ в Европе сформулирована гипотеза о возможности развития российс</w:t>
      </w:r>
      <w:r>
        <w:rPr>
          <w:sz w:val="28"/>
          <w:szCs w:val="28"/>
        </w:rPr>
        <w:t>ких приграничных городов Дальнего Востока как узлов трансграничных высокоскоростных железнодорожных магистралей, в том числе, формирования трансграничной агломерации Забайкальск-Маньчжурия.</w:t>
      </w:r>
    </w:p>
    <w:p w:rsidR="00FA515C" w:rsidRDefault="00DE75C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рекомендована к публикации.</w:t>
      </w:r>
    </w:p>
    <w:p w:rsidR="00DE75C8" w:rsidRDefault="00DE75C8">
      <w:pPr>
        <w:spacing w:line="312" w:lineRule="auto"/>
        <w:jc w:val="both"/>
        <w:rPr>
          <w:i/>
          <w:sz w:val="28"/>
          <w:szCs w:val="28"/>
        </w:rPr>
      </w:pPr>
    </w:p>
    <w:p w:rsidR="00FA515C" w:rsidRDefault="00DE75C8">
      <w:pPr>
        <w:spacing w:line="312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146685</wp:posOffset>
            </wp:positionV>
            <wp:extent cx="1181100" cy="942975"/>
            <wp:effectExtent l="1905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Доцент кафедры Градостроител</w:t>
      </w:r>
      <w:r>
        <w:rPr>
          <w:i/>
          <w:sz w:val="28"/>
          <w:szCs w:val="28"/>
        </w:rPr>
        <w:t xml:space="preserve">ьства </w:t>
      </w:r>
    </w:p>
    <w:p w:rsidR="00FA515C" w:rsidRDefault="00DE75C8">
      <w:p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«Московский архитектурный институт </w:t>
      </w:r>
    </w:p>
    <w:p w:rsidR="00FA515C" w:rsidRDefault="00DE75C8" w:rsidP="00DE75C8">
      <w:pPr>
        <w:rPr>
          <w:sz w:val="28"/>
          <w:szCs w:val="28"/>
        </w:rPr>
      </w:pPr>
      <w:r>
        <w:rPr>
          <w:sz w:val="28"/>
          <w:szCs w:val="28"/>
        </w:rPr>
        <w:t xml:space="preserve">(государственная академия)            </w:t>
      </w:r>
    </w:p>
    <w:p w:rsidR="00FA515C" w:rsidRDefault="00DE75C8" w:rsidP="00DE75C8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Ф.С. Кудрявцев</w:t>
      </w:r>
    </w:p>
    <w:p w:rsidR="00FA515C" w:rsidRDefault="00DE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подпись</w:t>
      </w:r>
    </w:p>
    <w:sectPr w:rsidR="00FA515C" w:rsidSect="00DE75C8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15C"/>
    <w:rsid w:val="00DE75C8"/>
    <w:rsid w:val="00FA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2B"/>
  </w:style>
  <w:style w:type="paragraph" w:styleId="1">
    <w:name w:val="heading 1"/>
    <w:basedOn w:val="normal"/>
    <w:next w:val="normal"/>
    <w:rsid w:val="00FA51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51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51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515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FA51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A51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515C"/>
  </w:style>
  <w:style w:type="table" w:customStyle="1" w:styleId="TableNormal">
    <w:name w:val="Table Normal"/>
    <w:rsid w:val="00FA5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51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3A026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D20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20DA9"/>
    <w:rPr>
      <w:rFonts w:ascii="Tahoma" w:hAnsi="Tahoma" w:cs="Tahoma"/>
      <w:sz w:val="16"/>
      <w:szCs w:val="16"/>
    </w:rPr>
  </w:style>
  <w:style w:type="paragraph" w:styleId="a7">
    <w:name w:val="Subtitle"/>
    <w:basedOn w:val="normal"/>
    <w:next w:val="normal"/>
    <w:rsid w:val="00FA51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f65VmOs/LK8pSBbux6o4ZFoLA==">CgMxLjA4AHIhMUJ0VHNmSURlRkUtWXJuLUd0M2Q5VkxpcVVJbWtSblJi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</cp:lastModifiedBy>
  <cp:revision>2</cp:revision>
  <dcterms:created xsi:type="dcterms:W3CDTF">2023-06-28T12:24:00Z</dcterms:created>
  <dcterms:modified xsi:type="dcterms:W3CDTF">2023-06-28T12:24:00Z</dcterms:modified>
</cp:coreProperties>
</file>